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E47068" w14:textId="77777777" w:rsidR="005B1E90" w:rsidRPr="005B1E90" w:rsidRDefault="005B1E90" w:rsidP="005B1E90">
      <w:pPr>
        <w:keepNext/>
        <w:suppressAutoHyphens/>
        <w:spacing w:after="120" w:line="360" w:lineRule="auto"/>
        <w:jc w:val="center"/>
        <w:rPr>
          <w:rFonts w:ascii="Times" w:eastAsia="Times New Roman" w:hAnsi="Times" w:cs="Times New Roman"/>
          <w:b/>
          <w:bCs/>
          <w:caps/>
          <w:spacing w:val="54"/>
          <w:kern w:val="24"/>
          <w:lang w:eastAsia="pl-PL"/>
          <w14:ligatures w14:val="none"/>
        </w:rPr>
      </w:pPr>
      <w:r w:rsidRPr="005B1E90">
        <w:rPr>
          <w:rFonts w:ascii="Times" w:eastAsia="Times New Roman" w:hAnsi="Times" w:cs="Times New Roman"/>
          <w:b/>
          <w:bCs/>
          <w:caps/>
          <w:spacing w:val="54"/>
          <w:kern w:val="24"/>
          <w:lang w:eastAsia="pl-PL"/>
          <w14:ligatures w14:val="none"/>
        </w:rPr>
        <w:t>UZASADNIENIE</w:t>
      </w:r>
    </w:p>
    <w:p w14:paraId="22B917C1" w14:textId="77777777" w:rsidR="005B1E90" w:rsidRPr="005B1E90" w:rsidRDefault="005B1E90" w:rsidP="005B1E90">
      <w:pPr>
        <w:suppressAutoHyphens/>
        <w:autoSpaceDE w:val="0"/>
        <w:autoSpaceDN w:val="0"/>
        <w:adjustRightInd w:val="0"/>
        <w:spacing w:before="120" w:after="0" w:line="360" w:lineRule="auto"/>
        <w:ind w:firstLine="510"/>
        <w:jc w:val="both"/>
        <w:rPr>
          <w:rFonts w:ascii="Times" w:eastAsia="Times New Roman" w:hAnsi="Times" w:cs="Arial"/>
          <w:bCs/>
          <w:kern w:val="0"/>
          <w:szCs w:val="20"/>
          <w:lang w:eastAsia="pl-PL"/>
          <w14:ligatures w14:val="none"/>
        </w:rPr>
      </w:pPr>
      <w:r w:rsidRPr="005B1E90">
        <w:rPr>
          <w:rFonts w:ascii="Times" w:eastAsia="Times New Roman" w:hAnsi="Times" w:cs="Arial"/>
          <w:bCs/>
          <w:kern w:val="0"/>
          <w:szCs w:val="20"/>
          <w:lang w:eastAsia="pl-PL"/>
          <w14:ligatures w14:val="none"/>
        </w:rPr>
        <w:t xml:space="preserve">Projekt przewiduje zmianę ustawy z dnia 6 lipca 1982 r. o księgach wieczystych i hipotece (Dz. U. z 2025 r. poz. 341), dalej: "ukwh", celem uregulowania możliwości wydawania dokumentów elektronicznych przez Centralną Informację Ksiąg Wieczystych, dalej: "CI KW", oraz wyszukiwania ksiąg wieczystych po numerze PESEL w aplikacji mobilnej mObywatel. Częściowo przepisy zawarte w projekcie zostały zaczerpnięte z projektu UD372 przedłożonego do Sejmu poprzedniej kadencji w drugiej połowie 2023 roku. W projekcie ujęto również zmiany w ustawie z dnia 20 sierpnia 1997 r. o Krajowym Rejestrze Sądowym </w:t>
      </w:r>
      <w:r w:rsidRPr="005B1E90">
        <w:rPr>
          <w:rFonts w:ascii="Times" w:eastAsia="Times New Roman" w:hAnsi="Times" w:cs="Arial"/>
          <w:b/>
          <w:bCs/>
          <w:kern w:val="0"/>
          <w:szCs w:val="20"/>
          <w:lang w:eastAsia="pl-PL"/>
          <w14:ligatures w14:val="none"/>
        </w:rPr>
        <w:t>(Dz. U. z 2025 r. poz. 869)</w:t>
      </w:r>
      <w:r w:rsidRPr="005B1E90">
        <w:rPr>
          <w:rFonts w:ascii="Times" w:eastAsia="Times New Roman" w:hAnsi="Times" w:cs="Arial"/>
          <w:bCs/>
          <w:kern w:val="0"/>
          <w:szCs w:val="20"/>
          <w:lang w:eastAsia="pl-PL"/>
          <w14:ligatures w14:val="none"/>
        </w:rPr>
        <w:t>, dalej: uKRS, w zakresie możliwości uzyskania informacji z newslettera KRS za pośrednictwem aplikacji mObywatel.</w:t>
      </w:r>
    </w:p>
    <w:p w14:paraId="31D11604" w14:textId="77777777" w:rsidR="005B1E90" w:rsidRPr="005B1E90" w:rsidRDefault="005B1E90" w:rsidP="005B1E90">
      <w:pPr>
        <w:keepNext/>
        <w:suppressAutoHyphens/>
        <w:spacing w:before="120" w:after="0" w:line="360" w:lineRule="auto"/>
        <w:jc w:val="center"/>
        <w:rPr>
          <w:rFonts w:ascii="Times" w:eastAsia="Times New Roman" w:hAnsi="Times" w:cs="Times New Roman"/>
          <w:b/>
          <w:bCs/>
          <w:kern w:val="0"/>
          <w:lang w:eastAsia="pl-PL"/>
          <w14:ligatures w14:val="none"/>
        </w:rPr>
      </w:pPr>
      <w:r w:rsidRPr="005B1E90">
        <w:rPr>
          <w:rFonts w:ascii="Times" w:eastAsia="Times New Roman" w:hAnsi="Times" w:cs="Times New Roman"/>
          <w:b/>
          <w:bCs/>
          <w:kern w:val="0"/>
          <w:lang w:eastAsia="pl-PL"/>
          <w14:ligatures w14:val="none"/>
        </w:rPr>
        <w:t>1. Projektowane zmiany w zakresie możliwości samodzielnego pobrania dokumentów elektronicznych z CI KW.</w:t>
      </w:r>
    </w:p>
    <w:p w14:paraId="3D465532" w14:textId="77777777" w:rsidR="005B1E90" w:rsidRPr="005B1E90" w:rsidRDefault="005B1E90" w:rsidP="005B1E90">
      <w:pPr>
        <w:suppressAutoHyphens/>
        <w:autoSpaceDE w:val="0"/>
        <w:autoSpaceDN w:val="0"/>
        <w:adjustRightInd w:val="0"/>
        <w:spacing w:before="120" w:after="0" w:line="360" w:lineRule="auto"/>
        <w:ind w:firstLine="510"/>
        <w:jc w:val="both"/>
        <w:rPr>
          <w:rFonts w:ascii="Times" w:eastAsia="Times New Roman" w:hAnsi="Times" w:cs="Arial"/>
          <w:bCs/>
          <w:kern w:val="0"/>
          <w:szCs w:val="20"/>
          <w:lang w:eastAsia="pl-PL"/>
          <w14:ligatures w14:val="none"/>
        </w:rPr>
      </w:pPr>
      <w:r w:rsidRPr="005B1E90">
        <w:rPr>
          <w:rFonts w:ascii="Times" w:eastAsia="Times New Roman" w:hAnsi="Times" w:cs="Arial"/>
          <w:bCs/>
          <w:kern w:val="0"/>
          <w:szCs w:val="20"/>
          <w:lang w:eastAsia="pl-PL"/>
          <w14:ligatures w14:val="none"/>
        </w:rPr>
        <w:t>Aktualne brzmienie przepisu art. 36</w:t>
      </w:r>
      <w:r w:rsidRPr="005B1E90">
        <w:rPr>
          <w:rFonts w:ascii="Times" w:eastAsia="Times New Roman" w:hAnsi="Times" w:cs="Arial"/>
          <w:bCs/>
          <w:kern w:val="0"/>
          <w:szCs w:val="20"/>
          <w:vertAlign w:val="superscript"/>
          <w:lang w:eastAsia="pl-PL"/>
          <w14:ligatures w14:val="none"/>
        </w:rPr>
        <w:t>4</w:t>
      </w:r>
      <w:r w:rsidRPr="005B1E90">
        <w:rPr>
          <w:rFonts w:ascii="Times" w:eastAsia="Times New Roman" w:hAnsi="Times" w:cs="Arial"/>
          <w:bCs/>
          <w:kern w:val="0"/>
          <w:szCs w:val="20"/>
          <w:lang w:eastAsia="pl-PL"/>
          <w14:ligatures w14:val="none"/>
        </w:rPr>
        <w:t xml:space="preserve"> ust. 4 ukwh stanowi, że w przypadku, gdy wniosek o wydanie odpisu ksiąg wieczystych, wyciągu z ksiąg wieczystych oraz zaświadczenia o zamknięciu ksiąg wieczystych zostanie złożony za pośrednictwem systemu teleinformatycznego, to Centralna Informacja Ksiąg Wieczystych umożliwia samodzielne wydrukowanie tych dokumentów za pośrednictwem systemu teleinformatycznego. Wydruki tych dokumentów mają moc dokumentów wydawanych przez sąd, jeżeli posiadają cechy umożliwiające ich weryfikację z danymi zawartymi w centralnej bazie danych ksiąg wieczystych. Wspomniane wyżej dokumenty mogą stanowić wymagany załącznik do wniosku, wnoszonego do organu administracji publicznej w postaci elektronicznej. W takim przypadku konieczne jest załączenie do wniosku dokumentu elektronicznego. W związku z powyższym proponuje się nadanie przedmiotowej jednostce redakcyjnej brzmienia, zgodnie z którym moc dokumentów wydawanych przez sąd będą posiadały nie tylko wydruki, jak obecnie, ale także dokumenty elektroniczne generowane przez system teleinformatyczny, z których te wydruki są sporządzane.</w:t>
      </w:r>
    </w:p>
    <w:p w14:paraId="4E3F2C6A" w14:textId="77777777" w:rsidR="005B1E90" w:rsidRPr="005B1E90" w:rsidRDefault="005B1E90" w:rsidP="005B1E90">
      <w:pPr>
        <w:suppressAutoHyphens/>
        <w:autoSpaceDE w:val="0"/>
        <w:autoSpaceDN w:val="0"/>
        <w:adjustRightInd w:val="0"/>
        <w:spacing w:before="120" w:after="0" w:line="360" w:lineRule="auto"/>
        <w:ind w:firstLine="510"/>
        <w:jc w:val="both"/>
        <w:rPr>
          <w:rFonts w:ascii="Times" w:eastAsia="Times New Roman" w:hAnsi="Times" w:cs="Arial"/>
          <w:bCs/>
          <w:kern w:val="0"/>
          <w:szCs w:val="20"/>
          <w:lang w:eastAsia="pl-PL"/>
          <w14:ligatures w14:val="none"/>
        </w:rPr>
      </w:pPr>
      <w:r w:rsidRPr="005B1E90">
        <w:rPr>
          <w:rFonts w:ascii="Times" w:eastAsia="Times New Roman" w:hAnsi="Times" w:cs="Arial"/>
          <w:bCs/>
          <w:kern w:val="0"/>
          <w:szCs w:val="20"/>
          <w:lang w:eastAsia="pl-PL"/>
          <w14:ligatures w14:val="none"/>
        </w:rPr>
        <w:t>Wynikiem wprowadzonej zmiany do art. 36</w:t>
      </w:r>
      <w:r w:rsidRPr="005B1E90">
        <w:rPr>
          <w:rFonts w:ascii="Times" w:eastAsia="Times New Roman" w:hAnsi="Times" w:cs="Arial"/>
          <w:bCs/>
          <w:kern w:val="0"/>
          <w:szCs w:val="20"/>
          <w:vertAlign w:val="superscript"/>
          <w:lang w:eastAsia="pl-PL"/>
          <w14:ligatures w14:val="none"/>
        </w:rPr>
        <w:t>4</w:t>
      </w:r>
      <w:r w:rsidRPr="005B1E90">
        <w:rPr>
          <w:rFonts w:ascii="Times" w:eastAsia="Times New Roman" w:hAnsi="Times" w:cs="Arial"/>
          <w:bCs/>
          <w:kern w:val="0"/>
          <w:szCs w:val="20"/>
          <w:lang w:eastAsia="pl-PL"/>
          <w14:ligatures w14:val="none"/>
        </w:rPr>
        <w:t xml:space="preserve"> ust. 4 ukwh (art. 1 pkt 2 lit. a projektu) będzie nadanie mocy dokumentów wydawanych przez sąd, tj.: odpisu ksiąg wieczystych, wyciągu z ksiąg wieczystych oraz zaświadczenia o zamknięciu ksiąg wieczystych, nie tylko wydrukom takich dokumentów, jak to jest obecnie, ale także dokumentom elektronicznie generowanym przez system teleinformatyczny.</w:t>
      </w:r>
    </w:p>
    <w:p w14:paraId="6897C2C2" w14:textId="77777777" w:rsidR="005B1E90" w:rsidRPr="005B1E90" w:rsidRDefault="005B1E90" w:rsidP="005B1E90">
      <w:pPr>
        <w:suppressAutoHyphens/>
        <w:autoSpaceDE w:val="0"/>
        <w:autoSpaceDN w:val="0"/>
        <w:adjustRightInd w:val="0"/>
        <w:spacing w:before="120" w:after="0" w:line="360" w:lineRule="auto"/>
        <w:ind w:firstLine="510"/>
        <w:jc w:val="both"/>
        <w:rPr>
          <w:rFonts w:ascii="Times" w:eastAsia="Times New Roman" w:hAnsi="Times" w:cs="Arial"/>
          <w:bCs/>
          <w:kern w:val="0"/>
          <w:szCs w:val="20"/>
          <w:lang w:eastAsia="pl-PL"/>
          <w14:ligatures w14:val="none"/>
        </w:rPr>
      </w:pPr>
      <w:r w:rsidRPr="005B1E90">
        <w:rPr>
          <w:rFonts w:ascii="Times" w:eastAsia="Times New Roman" w:hAnsi="Times" w:cs="Arial"/>
          <w:bCs/>
          <w:kern w:val="0"/>
          <w:szCs w:val="20"/>
          <w:lang w:eastAsia="pl-PL"/>
          <w14:ligatures w14:val="none"/>
        </w:rPr>
        <w:lastRenderedPageBreak/>
        <w:t>Konsekwencją powyższej zmiany jest modyfikacja delegacji ustawowej zawartej w art. 36</w:t>
      </w:r>
      <w:r w:rsidRPr="005B1E90">
        <w:rPr>
          <w:rFonts w:ascii="Times" w:eastAsia="Times New Roman" w:hAnsi="Times" w:cs="Arial"/>
          <w:bCs/>
          <w:kern w:val="0"/>
          <w:szCs w:val="20"/>
          <w:vertAlign w:val="superscript"/>
          <w:lang w:eastAsia="pl-PL"/>
          <w14:ligatures w14:val="none"/>
        </w:rPr>
        <w:t>4</w:t>
      </w:r>
      <w:r w:rsidRPr="005B1E90">
        <w:rPr>
          <w:rFonts w:ascii="Times" w:eastAsia="Times New Roman" w:hAnsi="Times" w:cs="Arial"/>
          <w:bCs/>
          <w:kern w:val="0"/>
          <w:szCs w:val="20"/>
          <w:lang w:eastAsia="pl-PL"/>
          <w14:ligatures w14:val="none"/>
        </w:rPr>
        <w:t xml:space="preserve"> ust. 17 ukwh (art. 1 pkt 2 lit. c projektu). Zmiana ta będzie również skutkowała zmianą wydanego na podstawie nowelizowanego przepisu, aktu wykonawczego, który to projekt jest przedmiotem odrębnych prac legislacyjnych.</w:t>
      </w:r>
    </w:p>
    <w:p w14:paraId="21178E08" w14:textId="77777777" w:rsidR="005B1E90" w:rsidRPr="005B1E90" w:rsidRDefault="005B1E90" w:rsidP="005B1E90">
      <w:pPr>
        <w:suppressAutoHyphens/>
        <w:autoSpaceDE w:val="0"/>
        <w:autoSpaceDN w:val="0"/>
        <w:adjustRightInd w:val="0"/>
        <w:spacing w:before="120" w:after="0" w:line="360" w:lineRule="auto"/>
        <w:ind w:firstLine="510"/>
        <w:jc w:val="both"/>
        <w:rPr>
          <w:rFonts w:ascii="Times" w:eastAsia="Times New Roman" w:hAnsi="Times" w:cs="Arial"/>
          <w:bCs/>
          <w:kern w:val="0"/>
          <w:szCs w:val="20"/>
          <w:lang w:eastAsia="pl-PL"/>
          <w14:ligatures w14:val="none"/>
        </w:rPr>
      </w:pPr>
      <w:r w:rsidRPr="005B1E90">
        <w:rPr>
          <w:rFonts w:ascii="Times" w:eastAsia="Times New Roman" w:hAnsi="Times" w:cs="Arial"/>
          <w:bCs/>
          <w:kern w:val="0"/>
          <w:szCs w:val="20"/>
          <w:lang w:eastAsia="pl-PL"/>
          <w14:ligatures w14:val="none"/>
        </w:rPr>
        <w:t>Dalszym efektem wprowadzonych zmian, jest uwzględnienie możliwości wygenerowania dokumentu elektronicznego równego mocą dokumentowi wydanemu przez sąd, w odniesieniu do obowiązku uiszczenia opłaty od wniosków o wydanie przez Centralną Informację Ksiąg Wieczystych odpisów ksiąg wieczystych, wyciągów z ksiąg wieczystych i zaświadczeń o zamknięciu ksiąg wieczystych oraz od wniosku o wyszukanie ksiąg wieczystych w centralnej bazie danych ksiąg wieczystych. Z tego też względu w projekcie uwzględniono modyfikację delegacji ustawowej zawartej w art. 36</w:t>
      </w:r>
      <w:r w:rsidRPr="005B1E90">
        <w:rPr>
          <w:rFonts w:ascii="Times" w:eastAsia="Times New Roman" w:hAnsi="Times" w:cs="Arial"/>
          <w:bCs/>
          <w:kern w:val="0"/>
          <w:szCs w:val="20"/>
          <w:vertAlign w:val="superscript"/>
          <w:lang w:eastAsia="pl-PL"/>
          <w14:ligatures w14:val="none"/>
        </w:rPr>
        <w:t>5</w:t>
      </w:r>
      <w:r w:rsidRPr="005B1E90">
        <w:rPr>
          <w:rFonts w:ascii="Times" w:eastAsia="Times New Roman" w:hAnsi="Times" w:cs="Arial"/>
          <w:bCs/>
          <w:kern w:val="0"/>
          <w:szCs w:val="20"/>
          <w:lang w:eastAsia="pl-PL"/>
          <w14:ligatures w14:val="none"/>
        </w:rPr>
        <w:t xml:space="preserve"> ust. 2 ukwh (art. 1 pkt 3 projektu). Projektowana nowelizacja również doprowadzi do zmiany aktu wykonawczego, wydanego na jego podstawie, co jest przedmiotem odrębnego procesu legislacyjnego.</w:t>
      </w:r>
    </w:p>
    <w:p w14:paraId="1FB07E8F" w14:textId="77777777" w:rsidR="005B1E90" w:rsidRPr="005B1E90" w:rsidRDefault="005B1E90" w:rsidP="005B1E90">
      <w:pPr>
        <w:keepNext/>
        <w:suppressAutoHyphens/>
        <w:spacing w:before="120" w:after="0" w:line="360" w:lineRule="auto"/>
        <w:jc w:val="center"/>
        <w:rPr>
          <w:rFonts w:ascii="Times" w:eastAsia="Times New Roman" w:hAnsi="Times" w:cs="Times New Roman"/>
          <w:b/>
          <w:bCs/>
          <w:kern w:val="0"/>
          <w:lang w:eastAsia="pl-PL"/>
          <w14:ligatures w14:val="none"/>
        </w:rPr>
      </w:pPr>
      <w:r w:rsidRPr="005B1E90">
        <w:rPr>
          <w:rFonts w:ascii="Times" w:eastAsia="Times New Roman" w:hAnsi="Times" w:cs="Times New Roman"/>
          <w:b/>
          <w:bCs/>
          <w:kern w:val="0"/>
          <w:lang w:eastAsia="pl-PL"/>
          <w14:ligatures w14:val="none"/>
        </w:rPr>
        <w:t>2. Projektowane regulacje w zakresie wykorzystania aplikacji mObywatel.</w:t>
      </w:r>
    </w:p>
    <w:p w14:paraId="50F3E986" w14:textId="77777777" w:rsidR="005B1E90" w:rsidRPr="005B1E90" w:rsidRDefault="005B1E90" w:rsidP="005B1E90">
      <w:pPr>
        <w:keepNext/>
        <w:suppressAutoHyphens/>
        <w:spacing w:before="120" w:after="0" w:line="360" w:lineRule="auto"/>
        <w:jc w:val="center"/>
        <w:rPr>
          <w:rFonts w:ascii="Times" w:eastAsia="Times New Roman" w:hAnsi="Times" w:cs="Arial"/>
          <w:bCs/>
          <w:kern w:val="24"/>
          <w:lang w:eastAsia="pl-PL"/>
          <w14:ligatures w14:val="none"/>
        </w:rPr>
      </w:pPr>
      <w:r w:rsidRPr="005B1E90">
        <w:rPr>
          <w:rFonts w:ascii="Times" w:eastAsia="Times New Roman" w:hAnsi="Times" w:cs="Arial"/>
          <w:bCs/>
          <w:kern w:val="24"/>
          <w:lang w:eastAsia="pl-PL"/>
          <w14:ligatures w14:val="none"/>
        </w:rPr>
        <w:t>A. Dane z Centralnej Informacji Ksiąg Wieczystych</w:t>
      </w:r>
    </w:p>
    <w:p w14:paraId="38528EA6" w14:textId="77777777" w:rsidR="005B1E90" w:rsidRPr="005B1E90" w:rsidRDefault="005B1E90" w:rsidP="005B1E90">
      <w:pPr>
        <w:suppressAutoHyphens/>
        <w:autoSpaceDE w:val="0"/>
        <w:autoSpaceDN w:val="0"/>
        <w:adjustRightInd w:val="0"/>
        <w:spacing w:before="120" w:after="0" w:line="360" w:lineRule="auto"/>
        <w:ind w:firstLine="510"/>
        <w:jc w:val="both"/>
        <w:rPr>
          <w:rFonts w:ascii="Times" w:eastAsia="Times New Roman" w:hAnsi="Times" w:cs="Arial"/>
          <w:bCs/>
          <w:kern w:val="0"/>
          <w:szCs w:val="20"/>
          <w:lang w:eastAsia="pl-PL"/>
          <w14:ligatures w14:val="none"/>
        </w:rPr>
      </w:pPr>
      <w:r w:rsidRPr="005B1E90">
        <w:rPr>
          <w:rFonts w:ascii="Times" w:eastAsia="Times New Roman" w:hAnsi="Times" w:cs="Arial"/>
          <w:bCs/>
          <w:kern w:val="0"/>
          <w:szCs w:val="20"/>
          <w:lang w:eastAsia="pl-PL"/>
          <w14:ligatures w14:val="none"/>
        </w:rPr>
        <w:t xml:space="preserve">W projekcie przewidziano również dodanie do ustawy regulacji pozwalającej na ustalenie za pośrednictwem aplikacji mObywatel, w rozumieniu ustawy z dnia 26 maja 2023 r. o </w:t>
      </w:r>
      <w:r w:rsidRPr="005B1E90">
        <w:rPr>
          <w:rFonts w:ascii="Times" w:eastAsia="Times New Roman" w:hAnsi="Times" w:cs="Arial"/>
          <w:bCs/>
          <w:i/>
          <w:iCs/>
          <w:kern w:val="0"/>
          <w:szCs w:val="20"/>
          <w:lang w:eastAsia="pl-PL"/>
          <w14:ligatures w14:val="none"/>
        </w:rPr>
        <w:t>aplikacji mObywatel</w:t>
      </w:r>
      <w:r w:rsidRPr="005B1E90">
        <w:rPr>
          <w:rFonts w:ascii="Times" w:eastAsia="Times New Roman" w:hAnsi="Times" w:cs="Arial"/>
          <w:bCs/>
          <w:kern w:val="0"/>
          <w:szCs w:val="20"/>
          <w:lang w:eastAsia="pl-PL"/>
          <w14:ligatures w14:val="none"/>
        </w:rPr>
        <w:t xml:space="preserve"> (Dz.U. z 2024 r. poz. 1275 i 1717 oraz z 2025 r. poz. 1019), w księgach wieczystych, o jakich numerach, w dziale II ujawniony jest nr PESEL osoby uwierzytelnionej w aplikacji. Odpowiedni przepis we wskazanym zakresie proponuje się umieścić w nowym ust. 6a dodawanym do art. 36</w:t>
      </w:r>
      <w:r w:rsidRPr="005B1E90">
        <w:rPr>
          <w:rFonts w:ascii="Times" w:eastAsia="Times New Roman" w:hAnsi="Times" w:cs="Arial"/>
          <w:bCs/>
          <w:kern w:val="0"/>
          <w:szCs w:val="20"/>
          <w:vertAlign w:val="superscript"/>
          <w:lang w:eastAsia="pl-PL"/>
          <w14:ligatures w14:val="none"/>
        </w:rPr>
        <w:t>4</w:t>
      </w:r>
      <w:r w:rsidRPr="005B1E90">
        <w:rPr>
          <w:rFonts w:ascii="Times" w:eastAsia="Times New Roman" w:hAnsi="Times" w:cs="Arial"/>
          <w:bCs/>
          <w:kern w:val="0"/>
          <w:szCs w:val="20"/>
          <w:lang w:eastAsia="pl-PL"/>
          <w14:ligatures w14:val="none"/>
        </w:rPr>
        <w:t xml:space="preserve"> ukwh (art. 1 pkt 2 lit. b projektu). Z uwagi na wskazane w projekcie rozszerzenie funkcjonalności aplikacji mObywatel, efektem jej wprowadzenia będzie dokonanie zmiany w rozporządzeniu Rady Ministrów z dnia 12 lipca 2023 r. w sprawie zakresu danych i wykazu rejestrów publicznych oraz systemów teleinformatycznych podmiotów publicznych, z których użytkownik aplikacji mObywatel może pobrać dane (Dz. U. poz. 1342 oraz z 2025 r. poz. 1152).</w:t>
      </w:r>
    </w:p>
    <w:p w14:paraId="52374F65" w14:textId="77777777" w:rsidR="005B1E90" w:rsidRPr="005B1E90" w:rsidRDefault="005B1E90" w:rsidP="005B1E90">
      <w:pPr>
        <w:suppressAutoHyphens/>
        <w:autoSpaceDE w:val="0"/>
        <w:autoSpaceDN w:val="0"/>
        <w:adjustRightInd w:val="0"/>
        <w:spacing w:before="120" w:after="0" w:line="360" w:lineRule="auto"/>
        <w:ind w:firstLine="510"/>
        <w:jc w:val="both"/>
        <w:rPr>
          <w:rFonts w:ascii="Times" w:eastAsia="Times New Roman" w:hAnsi="Times" w:cs="Arial"/>
          <w:kern w:val="0"/>
          <w:szCs w:val="20"/>
          <w:lang w:eastAsia="pl-PL"/>
          <w14:ligatures w14:val="none"/>
        </w:rPr>
      </w:pPr>
      <w:r w:rsidRPr="005B1E90">
        <w:rPr>
          <w:rFonts w:ascii="Times" w:eastAsia="Times New Roman" w:hAnsi="Times" w:cs="Arial"/>
          <w:kern w:val="0"/>
          <w:szCs w:val="20"/>
          <w:lang w:eastAsia="pl-PL"/>
          <w14:ligatures w14:val="none"/>
        </w:rPr>
        <w:t>Jednocześnie, aby nie było wątpliwości co do obowiązku Ministra Sprawiedliwości udostępnienia danych w zakresie niezbędnym do zapewnienia funkcjonowania usług dostępnych w Centralnej Informacji Ksiąg Wieczystych dane objęte tą bazą danych ksiąg wieczystych przy użyciu aplikacji mObywatel, wprowadzono odpowiednią regulację bezpośrednio w ustawie o księgach wieczystych i hipotece, tj. dodano do art. 36</w:t>
      </w:r>
      <w:r w:rsidRPr="005B1E90">
        <w:rPr>
          <w:rFonts w:ascii="Times" w:eastAsia="Times New Roman" w:hAnsi="Times" w:cs="Arial"/>
          <w:kern w:val="0"/>
          <w:szCs w:val="20"/>
          <w:vertAlign w:val="superscript"/>
          <w:lang w:eastAsia="pl-PL"/>
          <w14:ligatures w14:val="none"/>
        </w:rPr>
        <w:t>3</w:t>
      </w:r>
      <w:r w:rsidRPr="005B1E90">
        <w:rPr>
          <w:rFonts w:ascii="Times" w:eastAsia="Times New Roman" w:hAnsi="Times" w:cs="Arial"/>
          <w:kern w:val="0"/>
          <w:szCs w:val="20"/>
          <w:lang w:eastAsia="pl-PL"/>
          <w14:ligatures w14:val="none"/>
        </w:rPr>
        <w:t xml:space="preserve"> ustępu </w:t>
      </w:r>
      <w:r w:rsidRPr="005B1E90">
        <w:rPr>
          <w:rFonts w:ascii="Times" w:eastAsia="Times New Roman" w:hAnsi="Times" w:cs="Arial"/>
          <w:kern w:val="0"/>
          <w:szCs w:val="20"/>
          <w:lang w:eastAsia="pl-PL"/>
          <w14:ligatures w14:val="none"/>
        </w:rPr>
        <w:lastRenderedPageBreak/>
        <w:t xml:space="preserve">3 precyzującego zakres danych z centralnej bazy danych ksiąg wieczystych (art. 1 pkt 1 projektu). </w:t>
      </w:r>
    </w:p>
    <w:p w14:paraId="2EEDAE68" w14:textId="77777777" w:rsidR="005B1E90" w:rsidRPr="005B1E90" w:rsidRDefault="005B1E90" w:rsidP="005B1E90">
      <w:pPr>
        <w:keepNext/>
        <w:suppressAutoHyphens/>
        <w:spacing w:before="120" w:after="0" w:line="360" w:lineRule="auto"/>
        <w:jc w:val="center"/>
        <w:rPr>
          <w:rFonts w:ascii="Times" w:eastAsia="Times New Roman" w:hAnsi="Times" w:cs="Arial"/>
          <w:bCs/>
          <w:kern w:val="24"/>
          <w:lang w:eastAsia="pl-PL"/>
          <w14:ligatures w14:val="none"/>
        </w:rPr>
      </w:pPr>
      <w:r w:rsidRPr="005B1E90">
        <w:rPr>
          <w:rFonts w:ascii="Times" w:eastAsia="Times New Roman" w:hAnsi="Times" w:cs="Arial"/>
          <w:bCs/>
          <w:kern w:val="24"/>
          <w:lang w:eastAsia="pl-PL"/>
          <w14:ligatures w14:val="none"/>
        </w:rPr>
        <w:t>B. Dane z Krajowego Rejestru Sądowego.</w:t>
      </w:r>
    </w:p>
    <w:p w14:paraId="6F48A804" w14:textId="77777777" w:rsidR="005B1E90" w:rsidRPr="005B1E90" w:rsidRDefault="005B1E90" w:rsidP="005B1E90">
      <w:pPr>
        <w:suppressAutoHyphens/>
        <w:autoSpaceDE w:val="0"/>
        <w:autoSpaceDN w:val="0"/>
        <w:adjustRightInd w:val="0"/>
        <w:spacing w:before="120" w:after="0" w:line="360" w:lineRule="auto"/>
        <w:ind w:firstLine="510"/>
        <w:jc w:val="both"/>
        <w:rPr>
          <w:rFonts w:ascii="Times" w:eastAsia="Times New Roman" w:hAnsi="Times" w:cs="Arial"/>
          <w:kern w:val="0"/>
          <w:szCs w:val="20"/>
          <w:lang w:eastAsia="pl-PL"/>
          <w14:ligatures w14:val="none"/>
        </w:rPr>
      </w:pPr>
      <w:r w:rsidRPr="005B1E90">
        <w:rPr>
          <w:rFonts w:ascii="Times" w:eastAsia="Times New Roman" w:hAnsi="Times" w:cs="Arial"/>
          <w:kern w:val="0"/>
          <w:szCs w:val="20"/>
          <w:lang w:eastAsia="pl-PL"/>
          <w14:ligatures w14:val="none"/>
        </w:rPr>
        <w:t>Z uwagi na przewidzianą modyfikację aplikacji mObywatel w taki sposób, aby było możliwe pozyskanie za jej pośrednictwem danych z Krajowego Rejestru Sądowego (KRS) dotyczących podmiotu wpisanego do rejestru przedsiębiorców lub rejestru stowarzyszeń, innych organizacji społecznych i zawodowych, fundacji oraz samodzielnych publicznych zakładów opieki zdrowotnej m.in. w zakresie:</w:t>
      </w:r>
    </w:p>
    <w:p w14:paraId="5162924B" w14:textId="77777777" w:rsidR="005B1E90" w:rsidRPr="005B1E90" w:rsidRDefault="005B1E90" w:rsidP="005B1E90">
      <w:pPr>
        <w:widowControl w:val="0"/>
        <w:autoSpaceDE w:val="0"/>
        <w:autoSpaceDN w:val="0"/>
        <w:adjustRightInd w:val="0"/>
        <w:spacing w:after="0" w:line="360" w:lineRule="auto"/>
        <w:rPr>
          <w:rFonts w:ascii="Times New Roman" w:eastAsia="Times New Roman" w:hAnsi="Times New Roman" w:cs="Arial"/>
          <w:kern w:val="0"/>
          <w:szCs w:val="20"/>
          <w:lang w:eastAsia="pl-PL"/>
          <w14:ligatures w14:val="none"/>
        </w:rPr>
      </w:pPr>
      <w:r w:rsidRPr="005B1E90">
        <w:rPr>
          <w:rFonts w:ascii="Times New Roman" w:eastAsia="Times New Roman" w:hAnsi="Times New Roman" w:cs="Arial"/>
          <w:kern w:val="0"/>
          <w:szCs w:val="20"/>
          <w:lang w:eastAsia="pl-PL"/>
          <w14:ligatures w14:val="none"/>
        </w:rPr>
        <w:t>1)</w:t>
      </w:r>
      <w:r w:rsidRPr="005B1E90">
        <w:rPr>
          <w:rFonts w:ascii="Times New Roman" w:eastAsia="Times New Roman" w:hAnsi="Times New Roman" w:cs="Arial"/>
          <w:kern w:val="0"/>
          <w:szCs w:val="20"/>
          <w:lang w:eastAsia="pl-PL"/>
          <w14:ligatures w14:val="none"/>
        </w:rPr>
        <w:tab/>
        <w:t>zarejestrowania w systemie teleinformatycznym sprawy obejmująca numer w Rejestrze, sygnaturę sprawy i datę rejestracji sprawy albo</w:t>
      </w:r>
    </w:p>
    <w:p w14:paraId="4D93365D" w14:textId="77777777" w:rsidR="005B1E90" w:rsidRPr="005B1E90" w:rsidRDefault="005B1E90" w:rsidP="005B1E90">
      <w:pPr>
        <w:widowControl w:val="0"/>
        <w:autoSpaceDE w:val="0"/>
        <w:autoSpaceDN w:val="0"/>
        <w:adjustRightInd w:val="0"/>
        <w:spacing w:after="0" w:line="360" w:lineRule="auto"/>
        <w:rPr>
          <w:rFonts w:ascii="Times New Roman" w:eastAsia="Times New Roman" w:hAnsi="Times New Roman" w:cs="Arial"/>
          <w:kern w:val="0"/>
          <w:szCs w:val="20"/>
          <w:lang w:eastAsia="pl-PL"/>
          <w14:ligatures w14:val="none"/>
        </w:rPr>
      </w:pPr>
      <w:r w:rsidRPr="005B1E90">
        <w:rPr>
          <w:rFonts w:ascii="Times New Roman" w:eastAsia="Times New Roman" w:hAnsi="Times New Roman" w:cs="Arial"/>
          <w:kern w:val="0"/>
          <w:szCs w:val="20"/>
          <w:lang w:eastAsia="pl-PL"/>
          <w14:ligatures w14:val="none"/>
        </w:rPr>
        <w:t>2)</w:t>
      </w:r>
      <w:r w:rsidRPr="005B1E90">
        <w:rPr>
          <w:rFonts w:ascii="Times New Roman" w:eastAsia="Times New Roman" w:hAnsi="Times New Roman" w:cs="Arial"/>
          <w:kern w:val="0"/>
          <w:szCs w:val="20"/>
          <w:lang w:eastAsia="pl-PL"/>
          <w14:ligatures w14:val="none"/>
        </w:rPr>
        <w:tab/>
        <w:t>dokonaniu wpisu w pozycji Rejestru obejmująca numer w Rejestrze, sygnaturę sprawy, datę dokonania wpisu i numer wpisu</w:t>
      </w:r>
    </w:p>
    <w:p w14:paraId="239975F0" w14:textId="77777777" w:rsidR="005B1E90" w:rsidRPr="005B1E90" w:rsidRDefault="005B1E90" w:rsidP="005B1E90">
      <w:pPr>
        <w:suppressAutoHyphens/>
        <w:autoSpaceDE w:val="0"/>
        <w:autoSpaceDN w:val="0"/>
        <w:adjustRightInd w:val="0"/>
        <w:spacing w:before="120" w:after="0" w:line="360" w:lineRule="auto"/>
        <w:jc w:val="both"/>
        <w:rPr>
          <w:rFonts w:ascii="Times" w:eastAsia="Times New Roman" w:hAnsi="Times" w:cs="Arial"/>
          <w:kern w:val="0"/>
          <w:szCs w:val="20"/>
          <w:lang w:eastAsia="pl-PL"/>
          <w14:ligatures w14:val="none"/>
        </w:rPr>
      </w:pPr>
      <w:r w:rsidRPr="005B1E90">
        <w:rPr>
          <w:rFonts w:ascii="Times" w:eastAsia="Times New Roman" w:hAnsi="Times" w:cs="Arial"/>
          <w:kern w:val="0"/>
          <w:szCs w:val="20"/>
          <w:lang w:eastAsia="pl-PL"/>
          <w14:ligatures w14:val="none"/>
        </w:rPr>
        <w:sym w:font="Symbol" w:char="F02D"/>
      </w:r>
      <w:r w:rsidRPr="005B1E90">
        <w:rPr>
          <w:rFonts w:ascii="Times" w:eastAsia="Times New Roman" w:hAnsi="Times" w:cs="Arial"/>
          <w:kern w:val="0"/>
          <w:szCs w:val="20"/>
          <w:lang w:eastAsia="pl-PL"/>
          <w14:ligatures w14:val="none"/>
        </w:rPr>
        <w:t xml:space="preserve"> koniecznym stało się uregulowanie wzajemnej relacji podstaw prawnych dopuszczających pozyskanie ww. informacji. Uwzględnić bowiem należało obowiązujące na mocy art. 10a ust. 3 uKRS ograniczenie jednoczesnego przesyłania danych nie więcej niż 50 podmiotów, w odniesieniu do wniosków składanych przez system teleinformatyczny służący do prowadzenia Rejestru.</w:t>
      </w:r>
    </w:p>
    <w:p w14:paraId="514E3E18" w14:textId="77777777" w:rsidR="005B1E90" w:rsidRPr="005B1E90" w:rsidRDefault="005B1E90" w:rsidP="005B1E90">
      <w:pPr>
        <w:suppressAutoHyphens/>
        <w:autoSpaceDE w:val="0"/>
        <w:autoSpaceDN w:val="0"/>
        <w:adjustRightInd w:val="0"/>
        <w:spacing w:before="120" w:after="0" w:line="360" w:lineRule="auto"/>
        <w:ind w:firstLine="510"/>
        <w:jc w:val="both"/>
        <w:rPr>
          <w:rFonts w:ascii="Times" w:eastAsia="Times New Roman" w:hAnsi="Times" w:cs="Arial"/>
          <w:kern w:val="0"/>
          <w:szCs w:val="20"/>
          <w:lang w:eastAsia="pl-PL"/>
          <w14:ligatures w14:val="none"/>
        </w:rPr>
      </w:pPr>
      <w:r w:rsidRPr="005B1E90">
        <w:rPr>
          <w:rFonts w:ascii="Times" w:eastAsia="Times New Roman" w:hAnsi="Times" w:cs="Arial"/>
          <w:kern w:val="0"/>
          <w:szCs w:val="20"/>
          <w:lang w:eastAsia="pl-PL"/>
          <w14:ligatures w14:val="none"/>
        </w:rPr>
        <w:t>W przypadku wniosków składanych z wykorzystaniem mObywatela przedmiotowe ograniczenie nie będzie miało miejsca (art. 2 projektu), z jednoczesnym zastrzeżeniem, że dostęp do danych z KRS za pośrednictwem aplikacji mObywatel będzie ograniczony do danych podmiotów, z którymi ten konkretny użytkownik aplikacji jest powiązany przez PESEL. Ograniczenie to będzie wynikało z odpowiedniej zmiany rozporządzenia Rady Ministrów w sprawie zakresu danych i wykazu rejestrów publicznych oraz systemów teleinformatycznych podmiotów publicznych, z których użytkownik aplikacji mObywatel może pobrać dane (aktualnie prace toczą się w ramach projektu prowadzonego przez Ministerstwo Cyfryzacji pod numerem RDER1).</w:t>
      </w:r>
    </w:p>
    <w:p w14:paraId="41B10A9E" w14:textId="77777777" w:rsidR="005B1E90" w:rsidRPr="005B1E90" w:rsidRDefault="005B1E90" w:rsidP="005B1E90">
      <w:pPr>
        <w:suppressAutoHyphens/>
        <w:autoSpaceDE w:val="0"/>
        <w:autoSpaceDN w:val="0"/>
        <w:adjustRightInd w:val="0"/>
        <w:spacing w:before="120" w:after="0" w:line="360" w:lineRule="auto"/>
        <w:ind w:firstLine="510"/>
        <w:jc w:val="both"/>
        <w:rPr>
          <w:rFonts w:ascii="Times" w:eastAsia="Times New Roman" w:hAnsi="Times" w:cs="Arial"/>
          <w:bCs/>
          <w:kern w:val="0"/>
          <w:szCs w:val="20"/>
          <w:lang w:eastAsia="pl-PL"/>
          <w14:ligatures w14:val="none"/>
        </w:rPr>
      </w:pPr>
      <w:r w:rsidRPr="005B1E90">
        <w:rPr>
          <w:rFonts w:ascii="Times" w:eastAsia="Times New Roman" w:hAnsi="Times" w:cs="Arial"/>
          <w:bCs/>
          <w:kern w:val="0"/>
          <w:szCs w:val="20"/>
          <w:lang w:eastAsia="pl-PL"/>
          <w14:ligatures w14:val="none"/>
        </w:rPr>
        <w:t xml:space="preserve">Celem umożliwienia udostępniania danych z KRS za pośrednictwem aplikacji mObywatel, w zakresie opisanym powyżej, koniecznym było </w:t>
      </w:r>
      <w:r w:rsidRPr="005B1E90">
        <w:rPr>
          <w:rFonts w:ascii="Times" w:eastAsia="Times New Roman" w:hAnsi="Times" w:cs="Arial"/>
          <w:b/>
          <w:bCs/>
          <w:kern w:val="0"/>
          <w:szCs w:val="20"/>
          <w:lang w:eastAsia="pl-PL"/>
          <w14:ligatures w14:val="none"/>
        </w:rPr>
        <w:t xml:space="preserve">dodanie ust. 3b do art. 4a zgodnie, z którym </w:t>
      </w:r>
      <w:r w:rsidRPr="005B1E90">
        <w:rPr>
          <w:rFonts w:ascii="Times" w:eastAsia="Times New Roman" w:hAnsi="Times" w:cs="Arial"/>
          <w:bCs/>
          <w:kern w:val="0"/>
          <w:szCs w:val="20"/>
          <w:lang w:eastAsia="pl-PL"/>
          <w14:ligatures w14:val="none"/>
        </w:rPr>
        <w:t xml:space="preserve">Centralna Informacja udziela na żądanie użytkownika aplikacji mObywatel, informacji o numerach KRS i nazwach albo firmach podmiotów, w których numer identyfikacyjny PESEL tego użytkownika jest zamieszczony w rejestrach, o których mowa </w:t>
      </w:r>
      <w:r w:rsidRPr="005B1E90">
        <w:rPr>
          <w:rFonts w:ascii="Times" w:eastAsia="Times New Roman" w:hAnsi="Times" w:cs="Arial"/>
          <w:bCs/>
          <w:kern w:val="0"/>
          <w:szCs w:val="20"/>
          <w:lang w:eastAsia="pl-PL"/>
          <w14:ligatures w14:val="none"/>
        </w:rPr>
        <w:lastRenderedPageBreak/>
        <w:t>w art. 1 ust. 2 pkt 1 i 2 oraz bezpłatnie udostępnia aktualne informacje o takich podmiotach wpisanych do Rejestru.</w:t>
      </w:r>
    </w:p>
    <w:p w14:paraId="3FF11874" w14:textId="77777777" w:rsidR="005B1E90" w:rsidRPr="005B1E90" w:rsidRDefault="005B1E90" w:rsidP="005B1E90">
      <w:pPr>
        <w:keepNext/>
        <w:suppressAutoHyphens/>
        <w:spacing w:before="120" w:after="0" w:line="360" w:lineRule="auto"/>
        <w:jc w:val="center"/>
        <w:rPr>
          <w:rFonts w:ascii="Times" w:eastAsia="Times New Roman" w:hAnsi="Times" w:cs="Times New Roman"/>
          <w:b/>
          <w:bCs/>
          <w:kern w:val="0"/>
          <w:lang w:eastAsia="pl-PL"/>
          <w14:ligatures w14:val="none"/>
        </w:rPr>
      </w:pPr>
      <w:r w:rsidRPr="005B1E90">
        <w:rPr>
          <w:rFonts w:ascii="Times" w:eastAsia="Times New Roman" w:hAnsi="Times" w:cs="Times New Roman"/>
          <w:b/>
          <w:bCs/>
          <w:kern w:val="0"/>
          <w:lang w:eastAsia="pl-PL"/>
          <w14:ligatures w14:val="none"/>
        </w:rPr>
        <w:t>3. Przepisy końcowe</w:t>
      </w:r>
    </w:p>
    <w:p w14:paraId="1F43F7CE" w14:textId="77777777" w:rsidR="005B1E90" w:rsidRPr="005B1E90" w:rsidRDefault="005B1E90" w:rsidP="005B1E90">
      <w:pPr>
        <w:suppressAutoHyphens/>
        <w:autoSpaceDE w:val="0"/>
        <w:autoSpaceDN w:val="0"/>
        <w:adjustRightInd w:val="0"/>
        <w:spacing w:before="120" w:after="0" w:line="360" w:lineRule="auto"/>
        <w:ind w:firstLine="510"/>
        <w:jc w:val="both"/>
        <w:rPr>
          <w:rFonts w:ascii="Times" w:eastAsia="Times New Roman" w:hAnsi="Times" w:cs="Arial"/>
          <w:kern w:val="0"/>
          <w:szCs w:val="20"/>
          <w:lang w:eastAsia="pl-PL"/>
          <w14:ligatures w14:val="none"/>
        </w:rPr>
      </w:pPr>
      <w:r w:rsidRPr="005B1E90">
        <w:rPr>
          <w:rFonts w:ascii="Times" w:eastAsia="Times New Roman" w:hAnsi="Times" w:cs="Arial"/>
          <w:kern w:val="0"/>
          <w:szCs w:val="20"/>
          <w:lang w:eastAsia="pl-PL"/>
          <w14:ligatures w14:val="none"/>
        </w:rPr>
        <w:t xml:space="preserve">Przewiduje się, że dokumenty udostępnione przez Centralną Informację Ksiąg Wieczystych do samodzielnego wydruku za pośrednictwem systemu teleinformatycznego przed dniem wejścia w życie ustawy, zachowują moc dokumentów wydawanych przez sąd, jeżeli posiadają cechy umożliwiające ich weryfikację z danymi zawartymi w centralnej bazie danych ksiąg wieczystych (art. 3 projektu). </w:t>
      </w:r>
    </w:p>
    <w:p w14:paraId="0D864F43" w14:textId="77777777" w:rsidR="005B1E90" w:rsidRPr="005B1E90" w:rsidRDefault="005B1E90" w:rsidP="005B1E90">
      <w:pPr>
        <w:suppressAutoHyphens/>
        <w:autoSpaceDE w:val="0"/>
        <w:autoSpaceDN w:val="0"/>
        <w:adjustRightInd w:val="0"/>
        <w:spacing w:before="120" w:after="0" w:line="360" w:lineRule="auto"/>
        <w:ind w:firstLine="510"/>
        <w:jc w:val="both"/>
        <w:rPr>
          <w:rFonts w:ascii="Times" w:eastAsia="Times New Roman" w:hAnsi="Times" w:cs="Arial"/>
          <w:kern w:val="0"/>
          <w:szCs w:val="20"/>
          <w:lang w:eastAsia="pl-PL"/>
          <w14:ligatures w14:val="none"/>
        </w:rPr>
      </w:pPr>
      <w:r w:rsidRPr="005B1E90">
        <w:rPr>
          <w:rFonts w:ascii="Times" w:eastAsia="Times New Roman" w:hAnsi="Times" w:cs="Arial"/>
          <w:kern w:val="0"/>
          <w:szCs w:val="20"/>
          <w:lang w:eastAsia="pl-PL"/>
          <w14:ligatures w14:val="none"/>
        </w:rPr>
        <w:t xml:space="preserve">Zakłada się, że ustawa wejdzie w życie z dniem 31 marca 2026 r., który to termin z jednej strony wynika z założeń przedsięwzięcia „Rozwój i zwiększenie dostępności Rejestrów Sądowych - eKRS i EKW”, które znalazło się na liście projektów indykatywnych do Inwestycji C2.1.1 Krajowego Planu Odbudowy i Zwiększania Odporności, jak również pozwoli na przeprowadzenie procesu legislacyjnego w zakresie niezbędnych nowelizacji aktów wykonawczych, wydawanych na podstawie przepisów, których zmianę przewiduje się w niniejszym projekcie. Z tych samych względów, dla przepisów nowelizujących ustawę o KRS przewidziano datę wejścia w życie określoną na dzień 31 maja 2026 r. </w:t>
      </w:r>
    </w:p>
    <w:p w14:paraId="749B845E" w14:textId="77777777" w:rsidR="005B1E90" w:rsidRPr="005B1E90" w:rsidRDefault="005B1E90" w:rsidP="005B1E90">
      <w:pPr>
        <w:suppressAutoHyphens/>
        <w:autoSpaceDE w:val="0"/>
        <w:autoSpaceDN w:val="0"/>
        <w:adjustRightInd w:val="0"/>
        <w:spacing w:before="120" w:after="0" w:line="360" w:lineRule="auto"/>
        <w:ind w:firstLine="510"/>
        <w:jc w:val="both"/>
        <w:rPr>
          <w:rFonts w:ascii="Times" w:eastAsia="Times New Roman" w:hAnsi="Times" w:cs="Arial"/>
          <w:bCs/>
          <w:kern w:val="0"/>
          <w:szCs w:val="20"/>
          <w:lang w:eastAsia="pl-PL"/>
          <w14:ligatures w14:val="none"/>
        </w:rPr>
      </w:pPr>
      <w:r w:rsidRPr="005B1E90">
        <w:rPr>
          <w:rFonts w:ascii="Times" w:eastAsia="Times New Roman" w:hAnsi="Times" w:cs="Arial"/>
          <w:bCs/>
          <w:kern w:val="0"/>
          <w:szCs w:val="20"/>
          <w:lang w:eastAsia="pl-PL"/>
          <w14:ligatures w14:val="none"/>
        </w:rPr>
        <w:t>Projektowana regulacja nie wywiera bezpośredniego wpływu na działalność mikroprzedsiębiorców oraz małych i średnich przedsiębiorstw.</w:t>
      </w:r>
    </w:p>
    <w:p w14:paraId="0D3211D9" w14:textId="77777777" w:rsidR="005B1E90" w:rsidRPr="005B1E90" w:rsidRDefault="005B1E90" w:rsidP="005B1E90">
      <w:pPr>
        <w:suppressAutoHyphens/>
        <w:autoSpaceDE w:val="0"/>
        <w:autoSpaceDN w:val="0"/>
        <w:adjustRightInd w:val="0"/>
        <w:spacing w:before="120" w:after="0" w:line="360" w:lineRule="auto"/>
        <w:ind w:firstLine="510"/>
        <w:jc w:val="both"/>
        <w:rPr>
          <w:rFonts w:ascii="Times" w:eastAsia="Times New Roman" w:hAnsi="Times" w:cs="Arial"/>
          <w:bCs/>
          <w:kern w:val="0"/>
          <w:szCs w:val="20"/>
          <w:lang w:eastAsia="pl-PL"/>
          <w14:ligatures w14:val="none"/>
        </w:rPr>
      </w:pPr>
      <w:r w:rsidRPr="005B1E90">
        <w:rPr>
          <w:rFonts w:ascii="Times" w:eastAsia="Times New Roman" w:hAnsi="Times" w:cs="Arial"/>
          <w:bCs/>
          <w:kern w:val="0"/>
          <w:szCs w:val="20"/>
          <w:lang w:eastAsia="pl-PL"/>
          <w14:ligatures w14:val="none"/>
        </w:rPr>
        <w:t>Projekt nie wykonuje prawa Unii Europejskiej. Wprowadzane regulacje nie są sprzeczne z prawem Unii Europejskiej i nie podlegają przedstawieniu właściwym organom i instytucjom Unii Europejskiej, w tym Europejskiemu Bankowi Centralnemu, o których mowa w § 27 ust. 4 uchwały nr 190 Rady Ministrów z dnia 29 października 2013 r. – Regulamin pracy Rady Ministrów (M.P. z 2024 r. poz. 806).</w:t>
      </w:r>
    </w:p>
    <w:p w14:paraId="06089C58" w14:textId="77777777" w:rsidR="005B1E90" w:rsidRDefault="005B1E90" w:rsidP="005B1E90">
      <w:pPr>
        <w:suppressAutoHyphens/>
        <w:autoSpaceDE w:val="0"/>
        <w:autoSpaceDN w:val="0"/>
        <w:adjustRightInd w:val="0"/>
        <w:spacing w:before="120" w:after="0" w:line="360" w:lineRule="auto"/>
        <w:ind w:firstLine="510"/>
        <w:jc w:val="both"/>
        <w:rPr>
          <w:rFonts w:ascii="Times" w:eastAsia="Times New Roman" w:hAnsi="Times" w:cs="Arial"/>
          <w:bCs/>
          <w:kern w:val="0"/>
          <w:szCs w:val="20"/>
          <w:lang w:eastAsia="pl-PL"/>
          <w14:ligatures w14:val="none"/>
        </w:rPr>
      </w:pPr>
      <w:r w:rsidRPr="005B1E90">
        <w:rPr>
          <w:rFonts w:ascii="Times" w:eastAsia="Times New Roman" w:hAnsi="Times" w:cs="Arial"/>
          <w:bCs/>
          <w:kern w:val="0"/>
          <w:szCs w:val="20"/>
          <w:lang w:eastAsia="pl-PL"/>
          <w14:ligatures w14:val="none"/>
        </w:rPr>
        <w:t>Projekt nie zawiera przepisów technicznych w rozumieniu rozporządzenia Rady Ministrów z dnia 23 grudnia 2002 r. w sprawie sposobu funkcjonowania krajowego systemu notyfikacji norm i aktów prawnych (Dz. U. poz. 2039 oraz z 2004 r. poz. 597) i nie podlega notyfikacji w trybie przewidzianym w tym rozporządzeniu.</w:t>
      </w:r>
    </w:p>
    <w:p w14:paraId="2A8181C0" w14:textId="73645920" w:rsidR="00B12154" w:rsidRPr="005B1E90" w:rsidRDefault="005B1E90" w:rsidP="005B1E90">
      <w:pPr>
        <w:suppressAutoHyphens/>
        <w:autoSpaceDE w:val="0"/>
        <w:autoSpaceDN w:val="0"/>
        <w:adjustRightInd w:val="0"/>
        <w:spacing w:before="120" w:after="0" w:line="360" w:lineRule="auto"/>
        <w:ind w:firstLine="510"/>
        <w:jc w:val="both"/>
        <w:rPr>
          <w:rFonts w:ascii="Times" w:eastAsia="Times New Roman" w:hAnsi="Times" w:cs="Arial"/>
          <w:bCs/>
          <w:kern w:val="0"/>
          <w:szCs w:val="20"/>
          <w:lang w:eastAsia="pl-PL"/>
          <w14:ligatures w14:val="none"/>
        </w:rPr>
      </w:pPr>
      <w:r w:rsidRPr="005B1E90">
        <w:rPr>
          <w:rFonts w:ascii="Times New Roman" w:eastAsia="Times New Roman" w:hAnsi="Times New Roman" w:cs="Arial"/>
          <w:kern w:val="0"/>
          <w:szCs w:val="20"/>
          <w:lang w:eastAsia="pl-PL"/>
          <w14:ligatures w14:val="none"/>
        </w:rPr>
        <w:t>Zgodnie z art. 5 ustawy z dnia 7 lipca 2005 r. o działalności lobbingowej w procesie stanowienia prawa (Dz. U. z 2025 r. poz. 677), projekt zosta</w:t>
      </w:r>
      <w:r>
        <w:rPr>
          <w:rFonts w:ascii="Times New Roman" w:eastAsia="Times New Roman" w:hAnsi="Times New Roman" w:cs="Arial"/>
          <w:kern w:val="0"/>
          <w:szCs w:val="20"/>
          <w:lang w:eastAsia="pl-PL"/>
          <w14:ligatures w14:val="none"/>
        </w:rPr>
        <w:t>nie</w:t>
      </w:r>
      <w:r w:rsidRPr="005B1E90">
        <w:rPr>
          <w:rFonts w:ascii="Times New Roman" w:eastAsia="Times New Roman" w:hAnsi="Times New Roman" w:cs="Arial"/>
          <w:kern w:val="0"/>
          <w:szCs w:val="20"/>
          <w:lang w:eastAsia="pl-PL"/>
          <w14:ligatures w14:val="none"/>
        </w:rPr>
        <w:t xml:space="preserve"> udostępniony w Biuletynie Informacji Publicznej na stronie podmiotowej Rządowego Centrum Legislacji.</w:t>
      </w:r>
    </w:p>
    <w:sectPr w:rsidR="00B12154" w:rsidRPr="005B1E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1E90"/>
    <w:rsid w:val="001D4DE5"/>
    <w:rsid w:val="004B1BFB"/>
    <w:rsid w:val="00522FB6"/>
    <w:rsid w:val="005B1E90"/>
    <w:rsid w:val="0098475E"/>
    <w:rsid w:val="00B12154"/>
    <w:rsid w:val="00B42FD6"/>
    <w:rsid w:val="00BD2DA6"/>
    <w:rsid w:val="00DB666F"/>
    <w:rsid w:val="00FE76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45FE9A"/>
  <w15:chartTrackingRefBased/>
  <w15:docId w15:val="{95769949-62C1-474C-B0E1-8AB22D768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5B1E9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5B1E9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5B1E90"/>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5B1E90"/>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5B1E90"/>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5B1E90"/>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5B1E90"/>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5B1E90"/>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5B1E90"/>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B1E90"/>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5B1E90"/>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5B1E90"/>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5B1E90"/>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5B1E90"/>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5B1E90"/>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5B1E90"/>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5B1E90"/>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5B1E90"/>
    <w:rPr>
      <w:rFonts w:eastAsiaTheme="majorEastAsia" w:cstheme="majorBidi"/>
      <w:color w:val="272727" w:themeColor="text1" w:themeTint="D8"/>
    </w:rPr>
  </w:style>
  <w:style w:type="paragraph" w:styleId="Tytu">
    <w:name w:val="Title"/>
    <w:basedOn w:val="Normalny"/>
    <w:next w:val="Normalny"/>
    <w:link w:val="TytuZnak"/>
    <w:uiPriority w:val="10"/>
    <w:qFormat/>
    <w:rsid w:val="005B1E9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5B1E90"/>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5B1E90"/>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5B1E90"/>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5B1E90"/>
    <w:pPr>
      <w:spacing w:before="160"/>
      <w:jc w:val="center"/>
    </w:pPr>
    <w:rPr>
      <w:i/>
      <w:iCs/>
      <w:color w:val="404040" w:themeColor="text1" w:themeTint="BF"/>
    </w:rPr>
  </w:style>
  <w:style w:type="character" w:customStyle="1" w:styleId="CytatZnak">
    <w:name w:val="Cytat Znak"/>
    <w:basedOn w:val="Domylnaczcionkaakapitu"/>
    <w:link w:val="Cytat"/>
    <w:uiPriority w:val="29"/>
    <w:rsid w:val="005B1E90"/>
    <w:rPr>
      <w:i/>
      <w:iCs/>
      <w:color w:val="404040" w:themeColor="text1" w:themeTint="BF"/>
    </w:rPr>
  </w:style>
  <w:style w:type="paragraph" w:styleId="Akapitzlist">
    <w:name w:val="List Paragraph"/>
    <w:basedOn w:val="Normalny"/>
    <w:uiPriority w:val="34"/>
    <w:qFormat/>
    <w:rsid w:val="005B1E90"/>
    <w:pPr>
      <w:ind w:left="720"/>
      <w:contextualSpacing/>
    </w:pPr>
  </w:style>
  <w:style w:type="character" w:styleId="Wyrnienieintensywne">
    <w:name w:val="Intense Emphasis"/>
    <w:basedOn w:val="Domylnaczcionkaakapitu"/>
    <w:uiPriority w:val="21"/>
    <w:qFormat/>
    <w:rsid w:val="005B1E90"/>
    <w:rPr>
      <w:i/>
      <w:iCs/>
      <w:color w:val="0F4761" w:themeColor="accent1" w:themeShade="BF"/>
    </w:rPr>
  </w:style>
  <w:style w:type="paragraph" w:styleId="Cytatintensywny">
    <w:name w:val="Intense Quote"/>
    <w:basedOn w:val="Normalny"/>
    <w:next w:val="Normalny"/>
    <w:link w:val="CytatintensywnyZnak"/>
    <w:uiPriority w:val="30"/>
    <w:qFormat/>
    <w:rsid w:val="005B1E9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5B1E90"/>
    <w:rPr>
      <w:i/>
      <w:iCs/>
      <w:color w:val="0F4761" w:themeColor="accent1" w:themeShade="BF"/>
    </w:rPr>
  </w:style>
  <w:style w:type="character" w:styleId="Odwoanieintensywne">
    <w:name w:val="Intense Reference"/>
    <w:basedOn w:val="Domylnaczcionkaakapitu"/>
    <w:uiPriority w:val="32"/>
    <w:qFormat/>
    <w:rsid w:val="005B1E9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1335</Words>
  <Characters>8010</Characters>
  <Application>Microsoft Office Word</Application>
  <DocSecurity>0</DocSecurity>
  <Lines>66</Lines>
  <Paragraphs>18</Paragraphs>
  <ScaleCrop>false</ScaleCrop>
  <Company/>
  <LinksUpToDate>false</LinksUpToDate>
  <CharactersWithSpaces>9327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Perczyński Piotr  (DL)</dc:creator>
  <cp:keywords/>
  <dc:description/>
  <cp:lastModifiedBy>Duma Joanna</cp:lastModifiedBy>
  <cp:revision>2</cp:revision>
  <dcterms:created xsi:type="dcterms:W3CDTF">2025-09-29T12:46:00Z</dcterms:created>
  <dcterms:modified xsi:type="dcterms:W3CDTF">2025-09-29T12:46:00Z</dcterms:modified>
</cp:coreProperties>
</file>